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88D6" w14:textId="77777777" w:rsidR="00B046F9" w:rsidRPr="00840590" w:rsidRDefault="00B046F9" w:rsidP="00B046F9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4059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 załączniku Nr 1 – WPF</w:t>
      </w:r>
    </w:p>
    <w:p w14:paraId="57F92067" w14:textId="77777777" w:rsidR="00B046F9" w:rsidRPr="00840590" w:rsidRDefault="00B046F9" w:rsidP="00B046F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405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zwiększono dochody o kwotę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2 232 557,01</w:t>
      </w:r>
      <w:r w:rsidRPr="008405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zł (w tym zwiększenie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dochodów bieżących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o 570 000,00 zł oraz </w:t>
      </w:r>
      <w:r w:rsidRPr="00840590">
        <w:rPr>
          <w:rFonts w:ascii="Times New Roman" w:eastAsiaTheme="minorEastAsia" w:hAnsi="Times New Roman" w:cs="Times New Roman"/>
          <w:sz w:val="24"/>
          <w:szCs w:val="24"/>
          <w:lang w:eastAsia="pl-PL"/>
        </w:rPr>
        <w:t>dochodów majątkowych o 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 662 557,01</w:t>
      </w:r>
      <w:r w:rsidRPr="008405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zł), </w:t>
      </w:r>
    </w:p>
    <w:p w14:paraId="0B5D0522" w14:textId="77777777" w:rsidR="00B046F9" w:rsidRPr="00840590" w:rsidRDefault="00B046F9" w:rsidP="00B046F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405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zwiększono wydatki 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kwotę 2 382 557,01</w:t>
      </w:r>
      <w:r w:rsidRPr="008405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zł (w tym zwiększenie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wydatków bieżących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o 1 035 057,01 zł oraz wydatków</w:t>
      </w:r>
      <w:r w:rsidRPr="008405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majątkowych o 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 347 500,00</w:t>
      </w:r>
      <w:r w:rsidRPr="008405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zł)</w:t>
      </w:r>
    </w:p>
    <w:p w14:paraId="0A9AAA8B" w14:textId="77777777" w:rsidR="00B046F9" w:rsidRPr="00840590" w:rsidRDefault="00B046F9" w:rsidP="00B046F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405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Deficyt budżetu zwiększy się z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7 246 409,26</w:t>
      </w:r>
      <w:r w:rsidRPr="008405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zł do kwoty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7 396 409,26</w:t>
      </w:r>
      <w:r w:rsidRPr="008405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zł, czyli o kwotę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150 000,00</w:t>
      </w:r>
      <w:r w:rsidRPr="008405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zł,</w:t>
      </w:r>
    </w:p>
    <w:p w14:paraId="6A8D4B05" w14:textId="77777777" w:rsidR="00B046F9" w:rsidRPr="00840590" w:rsidRDefault="00B046F9" w:rsidP="00B046F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405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przychody z tytułu wolnych środków zwiększono o kwotę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150 </w:t>
      </w:r>
      <w:r w:rsidRPr="00840590">
        <w:rPr>
          <w:rFonts w:ascii="Times New Roman" w:eastAsiaTheme="minorEastAsia" w:hAnsi="Times New Roman" w:cs="Times New Roman"/>
          <w:sz w:val="24"/>
          <w:szCs w:val="24"/>
          <w:lang w:eastAsia="pl-PL"/>
        </w:rPr>
        <w:t>000,00 zł,</w:t>
      </w:r>
    </w:p>
    <w:p w14:paraId="4983E551" w14:textId="77777777" w:rsidR="00B046F9" w:rsidRPr="00840590" w:rsidRDefault="00B046F9" w:rsidP="00B046F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 w:rsidRPr="008405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Pozostałe wielkości 202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8405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dostosowano do wartości projektu uchwały budżetowej. </w:t>
      </w:r>
    </w:p>
    <w:p w14:paraId="2E7E70C3" w14:textId="77777777" w:rsidR="003E2B9C" w:rsidRDefault="003E2B9C"/>
    <w:sectPr w:rsidR="003E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F9"/>
    <w:rsid w:val="003E2B9C"/>
    <w:rsid w:val="0052576B"/>
    <w:rsid w:val="00B046F9"/>
    <w:rsid w:val="00D4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2E25"/>
  <w15:chartTrackingRefBased/>
  <w15:docId w15:val="{34E5671F-5E7E-4BEF-B477-83A334D4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6F9"/>
  </w:style>
  <w:style w:type="paragraph" w:styleId="Nagwek1">
    <w:name w:val="heading 1"/>
    <w:basedOn w:val="Normalny"/>
    <w:next w:val="Normalny"/>
    <w:link w:val="Nagwek1Znak"/>
    <w:uiPriority w:val="9"/>
    <w:qFormat/>
    <w:rsid w:val="0052576B"/>
    <w:pPr>
      <w:keepNext/>
      <w:keepLines/>
      <w:spacing w:after="0" w:line="276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6B"/>
    <w:rPr>
      <w:rFonts w:asciiTheme="majorHAnsi" w:eastAsiaTheme="majorEastAsia" w:hAnsiTheme="majorHAnsi" w:cstheme="majorBidi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Jankowiak</dc:creator>
  <cp:keywords/>
  <dc:description/>
  <cp:lastModifiedBy>Jankowiak</cp:lastModifiedBy>
  <cp:revision>1</cp:revision>
  <dcterms:created xsi:type="dcterms:W3CDTF">2022-12-20T09:08:00Z</dcterms:created>
  <dcterms:modified xsi:type="dcterms:W3CDTF">2022-12-20T09:08:00Z</dcterms:modified>
</cp:coreProperties>
</file>