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3D81" w14:textId="558EDE73" w:rsidR="005878CD" w:rsidRPr="00220124" w:rsidRDefault="005878CD" w:rsidP="005878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Pr="00220124">
        <w:rPr>
          <w:rFonts w:ascii="Times New Roman" w:hAnsi="Times New Roman" w:cs="Times New Roman"/>
          <w:b/>
          <w:sz w:val="28"/>
          <w:szCs w:val="28"/>
          <w:u w:val="single"/>
        </w:rPr>
        <w:t>oprawka nr 2</w:t>
      </w:r>
    </w:p>
    <w:p w14:paraId="02593BFC" w14:textId="77777777" w:rsidR="005878CD" w:rsidRPr="00220124" w:rsidRDefault="005878CD" w:rsidP="005878CD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</w:pPr>
      <w:r w:rsidRPr="00220124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t>W załączniku Nr 1 – WPF</w:t>
      </w:r>
    </w:p>
    <w:p w14:paraId="345ED5EA" w14:textId="77777777" w:rsidR="005878CD" w:rsidRPr="00220124" w:rsidRDefault="005878CD" w:rsidP="005878CD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2012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Zmiany w 2026 r.:</w:t>
      </w:r>
    </w:p>
    <w:p w14:paraId="354141A9" w14:textId="77777777" w:rsidR="005878CD" w:rsidRPr="00220124" w:rsidRDefault="005878CD" w:rsidP="005878CD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zwiększono dochody o kwotę 628 230,26 zł (w tym zwiększenie dochodów bieżących </w:t>
      </w:r>
      <w:r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o 0 zł oraz dochodów majątkowych o 628 230,26 zł)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14:paraId="2380BE19" w14:textId="77777777" w:rsidR="005878CD" w:rsidRDefault="005878CD" w:rsidP="005878CD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zwiększono wydatki o kwotę 587 651,34 zł (w tym zwiększenie wydatków bieżących </w:t>
      </w:r>
      <w:r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o 587 651,34 zł oraz wydatków majątkowych o 0,00 zł)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14:paraId="1D09866C" w14:textId="64F8CCA0" w:rsidR="005878CD" w:rsidRPr="00215EDD" w:rsidRDefault="005878CD" w:rsidP="005878CD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06B75">
        <w:rPr>
          <w:rFonts w:ascii="Times New Roman" w:eastAsiaTheme="minorEastAsia" w:hAnsi="Times New Roman" w:cs="Times New Roman"/>
          <w:sz w:val="24"/>
          <w:szCs w:val="24"/>
          <w:lang w:eastAsia="pl-PL"/>
        </w:rPr>
        <w:t>- Deficyt budżetu zmniejszy się z 33 151 012,54 do kwoty 33 110 433,62 zł, czyli o kwotę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40 578,92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zł,</w:t>
      </w:r>
    </w:p>
    <w:p w14:paraId="11769FB3" w14:textId="77777777" w:rsidR="005878CD" w:rsidRPr="00215EDD" w:rsidRDefault="005878CD" w:rsidP="005878CD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przychody z tytułu wolnych środków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zmniejsz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ono o kwotę </w:t>
      </w:r>
      <w:r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40 578,92 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>zł,</w:t>
      </w:r>
    </w:p>
    <w:p w14:paraId="0ED94DED" w14:textId="77777777" w:rsidR="005878CD" w:rsidRPr="00215EDD" w:rsidRDefault="005878CD" w:rsidP="005878CD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>- Pozostałe wielkości 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dostosowano do wartości projektu uchwały budżetowej. </w:t>
      </w:r>
    </w:p>
    <w:p w14:paraId="15440AA7" w14:textId="77777777" w:rsidR="00D4653E" w:rsidRDefault="00D4653E"/>
    <w:sectPr w:rsidR="00D46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3E"/>
    <w:rsid w:val="00244110"/>
    <w:rsid w:val="005878CD"/>
    <w:rsid w:val="00D4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43E8"/>
  <w15:chartTrackingRefBased/>
  <w15:docId w15:val="{BC32A281-ED11-467E-8075-36B4B742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C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5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5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5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5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5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5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5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5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5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5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5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5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5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5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5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6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5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5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65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5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65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5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Zdobylak</dc:creator>
  <cp:keywords/>
  <dc:description/>
  <cp:lastModifiedBy>Agata Zdobylak</cp:lastModifiedBy>
  <cp:revision>2</cp:revision>
  <dcterms:created xsi:type="dcterms:W3CDTF">2025-12-17T16:14:00Z</dcterms:created>
  <dcterms:modified xsi:type="dcterms:W3CDTF">2025-12-17T16:14:00Z</dcterms:modified>
</cp:coreProperties>
</file>